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22.06.2021, оставленным без изменения постановлением Пятнадцатого арбитражного апелляционного суда от 18.08.2021 и постановлением Арбитражного суда Северо-Кавказского округа от 01.02.2022,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 общества, получившего право требования задолженности на основании договора уступки от 02.09.2019, мотивирован неисполнением управлением обязательств по оплате по договору оказания услуг от 14.04.2017.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оказания услуг, руководствуясь статьями 15, 196, 382, 421, 431, 606, 614, 632, 779, 781 Гражданского кодекса Российской Федерации, суды первой и апелляционной инстанций пришли к выводу об отсутствии оснований для удовлетворения иска, исходя из недоказанности обществом совокупности условий для взыскания с управления платы за простой и услуги по перебазированию техники, а также пропуска обществом срока исковой давности по части требований.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«Черномор Строй 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