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03.06.2021, оставленным без изменения постановлением Пятнадцатого арбитражного апелляционного суда от 07.10.2021 и постановлением Арбитражного суда Северо-Кавказского округа от 11.02.2022,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 общества, получившего право требования задолженности на основании договора уступки от 02.09.2019, мотивирован неисполнением управлением обязательств по оплате по договору оказания услуг от 14.04.2017.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оказания услуг, руководствуясь статьями 15, 196, 382, 384, 421, 431, 606, 614, 632, 779, 781 Гражданского кодекса Российской Федерации, суды первой и апелляционной инстанций пришли к выводу об отсутствии оснований для удовлетворения иска, исходя из недоказанности обществом совокупности условий для взыскания с управления платы за простой и услуги по перебазированию техники, а также пропуска обществом срока исковой давности по части требований.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«Черномор Строй 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