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22.07.2021, оставленным без изменения постановлением Девятого арбитражного апелляционного суда от 21.10.2021 и постановлением Арбитражного суда Московского округа от 01.02.2022, в удовлетворении заявления отказано. В кассационной жалобе Порфирьева В.И. просит об отмене судебных актов, ссылаясь на ненадлежащую оценку приведенных ею в обоснование требования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образования долга и признали его не соответствующим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включения в реестр должника. Доводы кассационной жалобы не подтверждают нарушения норм права и не составляют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Порфирьевой Валентине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