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05.08.2021, оставленным без изменения постановлением Девятого арбитражного апелляционного суда от 24.11.2021 и постановлением Арбитражного суда Московского округа от 21.02.2022, в удовлетворении заявления отказано. В кассационной жалобе Плешков С.В. просит об отмене судебных актов, ссылаясь на игнорирование допущенных при проведении торгов нарушений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отсутствие нарушений, повлиявших на итоги торгов, поэтому разрешили спор в соответствии со статьями 110, 138, 213.7, 213.26 Федерального закона от 26.10.2002 № 127-ФЗ «О несостоятельности (банкротстве)», статье 448, 449 Гражданского кодекса Российской Федерации и их судебному толкованию. Довод о целесообразности продажи имущества за несоразмерный его стоимости долг в условиях залога имущества и несостоятельности должника является неосновательным. Неприобщение апелляционным судом документов и непривлечение к участию в деле покупателя не относятся к процессуальным нарушениям.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Плешкову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