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01.07.2021, оставленным без изменения постановлением Седьмого арбитражного апелляционного суда от 10.09.2021 и постановлением Арбитражного суда Западно-Сибирского округа от 31.01.2022, в удовлетворении заявления отказано. В кассационной жалобе Губайдуллин Р.Ш. просит об отмене судебных актов, ссылаясь на игнорирование недобросовестности действий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должником финансовому управляющему нарушений, поэтому отказали в применении требуемой ответственности в силу статей 20.3, 20.4, 83, 213.9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Р.Ш.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