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Алтай от 03.06.2021, оставленным без изменения постановлением Седьмого арбитражного апелляционного суда от 10.08.2021 и постановлением Арбитражного суда Западно-Сибирского округа от 25.01.2022, в удовлетворении заявления отказано. В кассационной жалобе Губайдуллин Р.Ш. просит об отмене судебных актов вследствие игнорирования судами недобросовестности финансового управляющего.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вменяемых должником финансовому управляющему нарушений, которые могли бы повлечь требуемую ответственность, поэтому в силу статей 20.3, 204, 83, 213.9 Федерального закона от 26.10.2002 № 127-ФЗ «О несостоятельности (банкротстве)», статьи 15 Гражданского кодекса Российской Федерации и их судебного толкования отклонили требование должника. Иная оценка должником действий финансового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Губайдуллину Р.Ш.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