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Алтай от 21.06.2021, оставленным без изменения постановлением Седьмого арбитражного апелляционного суда от 31.08.2021 и постановлением Арбитражного суда Западно-Сибирского округа от 31.01.2022, в удовлетворении заявления отказано. В кассационной жалобе Губайдуллин Р.Ш. просит об отмене судебных актов, ссылаясь на игнорирование недобросовестности финансового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заявление финансового управляющего о передаче дела о банкротстве должника по подсудности в Арбитражный суд Республики Татарстан не повлекло требуемых последствий, поэтому в их применении отказали в соответствии со статьями 20.3, 20.4, 213.9 Федерального закона от 26.10.2002 № 127-ФЗ «О несостоятельности (банкротстве)» и статьями 15, 1064 Гражданского кодекса Российской Федерации. Доводы кассационной жалобы не подтверждают нарушения норм права и не составляют оснований для пересмотра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Губайдуллину Р.Ш.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