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заявлением о признании недействительными договоров купли – продажи должником обществу с ограниченной ответственностью «Плутон» (далее – общество, покупатель) трёх транспортных средств от 06.08.2018, применении последствий их недействительности в виде возврата данных транспортных средств конкурсную массу, взыскании судебной неустойки. Определением Арбитражного суда Хабаровского края от 01.03.2021 требование в отношении сделки с транспортным средством марки Toyota Land Cruiser Prado выделено в отдельное производство и подлежало рассмотрению в настоящем обособленном споре. Заявитель уточнил требование в части применения последствий недействительности сделки, а именно ходатайствовал о взыскании с общества действительной стоимости транспортного средства в размере 1 943 128 рублей, истребования у Матвеева А.В. данного транспортного средства, взыскания с последнего судебной неустойки в размере 500 рублей за каждый день просрочки исполнения определения суда. Определением Арбитражного суда Хабаровского края от 26.11.2021 заявление удовлетворено в части признания недействительным оспариваемого договора купли – продажи от 06.08.2018 № 12/08/2018, применения последствий недействительности в виде возврата должнику стоимости транспортного средства марки Toyota Land Cruiser Prado в сумме 1 943 128 рублей в конкурсную массу. В остальной части в удовлетворении заявления отказано. 2 Постановлением Шестого арбитражного апелляционного суда от 18.01.2022, оставленным без изменения постановлением Арбитражного суда Дальневосточного округа от 01.04.2022, данное определение изменено в части применения последствий недействительности сделки. Суды обязали общество – покупателя возвратить в конкурсную массу должника переданное по сделке транспортное средство марки Toyota Land Cruiser Prado.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жалобы, заявитель не согласна с обжалуемыми судебными актами в части применения судами последствий недействительности сделки.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пунктом 2 статьи 167 Гражданского кодекса Российской Федерации, пунктом 1 статьи 61.6 Федерального закона от 26.10.2002 № 127-ФЗ «О несостоятельности (банкротстве)», пунктом 16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верно применили последствия недействительности сделки. Суды исходили из отсутствия надлежащих доказательств оплаты обществом – покупателем должнику стоимости приобретённого транспортного средства и последующей передачи его на каком-либо вещном праве гражданину Матвееву А.В. (физическому лицу, завладевшему транспортным средством без заключения сделки и обязанному по решению суда общей юрисдикции возвратить его обществу). Данные обстоятельства позволили судам апелляционной инстанции и округа прийти к выводу о сохранении за обществом – покупателем права собственности на данное транспортное средство и возможности его истребования именно у данного лица.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«Альбион» Замиловой Ольге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