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13.10.2021, оставленным без изменения постановлением Девятого арбитражного апелляционного суда от 06.12.2021, в удовлетворении требований отказано. Арбитражный суд Московского округа постановлением от 07.04.2022 оставил без изменения принятые судебные акты. Общество обратилось в Верховный Суд Российской Федерации с кассационной жалобой, в которой просит отменить судебные акты, считая их незаконными и необоснованными.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Исследовав и оценив представленные в материалы дела доказательства в их совокупности и взаимосвязи, руководствуясь нормами КоАП РФ, Федерального закона от 26.12.1995 N 208-ФЗ «Об акционерных обществах», принимая во внимание решение Арбитражного суда города Москвы от 03.03.2021 по делу № А40-159035/2020, суды пришли к выводу об отсутствии в действиях АО «Рождествено» состава административного правонарушения, предусмотренного частью 1 статьи 15.19 КоАП РФ. 3 В связи с тем, что срок давности привлечения АО «Рождествено» к административной ответственности за вмененное правонарушение истек, а после истечения указанного срока привлечение к административной ответственности является недопустимым, изложенные в жалобе доводы не могут служить достаточным основанием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производства. При этом передача кассационной жалобы в любом случае не приведет к восстановлению нарушенных прав и законных интересов общества. Таким образом,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