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Второго арбитражного апелляционного суда от 13.01.2022, оставленным без изменения постановлением Арбитражного суда Волго-Вятского округа от 16.03.2022, в удовлетворении заявления Соколова Н.М. об исправлении описки, допущенной в постановлении Второго арбитражного апелляционного суда от 26.07.2021,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Изменение существа мотивировочной части постановления, требуемое Соколовым Н.М., не укладывается в пределы статьи 179 Арбитражного процессуального кодекса Российской Федерации, поэтому в ее применении к заявленным обстоятельствам отказано.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