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29.06.2021, оставленным без изменения постановлением Четырнадцатого арбитражного 2 апелляционного суда от 18.10.2021, в удовлетворении заявленных требований отказано. Арбитражный суд Северо-Западного округа постановлением от 03.02.2022 судебные акты оставил без изменения. Общество обратилось в Верховный Суд Российской Федерации с кассационной жалобой, в которой просит отменить судебные акты судов, ссылаясь на нарушения норм материального права. Согласно пункту 1 части 7 статьи 2916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Частью 1 статьи 15.25 КоАП РФ предусмотрена ответственность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банках, расположенных за пределами территории 3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банках, расположенных за пределами территории Российской Федерации, в случаях, не предусмотренных валютным законодательством Российской Федерации. Оценив представленные доказательства, руководствуясь положениями Федерального закона от 10.12.2003 № 173-ФЗ «О валютном регулировании и валютном контроле», суды пришли к выводу о наличии в действиях общества состава административного правонарушения, предусмотренного частью 1 статьи 15.25 КоАП РФ, признав, что выплата обществом иностранным гражданам - нерезидентам денежных средств в наличной форме, минуя счета в уполномоченных банках, является нарушением валютного законодательства Российской Федерации. Выводы судов не противоречат правовой позиции, изложенной в определениях Конституционного Суда Российской Федерации от 20.07.2021 № 1664-О, от 27.01.2022 № 20-О. Судами установлено, что процедура и срок давности привлечения к административной ответственности соблюдены. Штраф назначен ниже низшего предела, предусмотренного санкцией нормы. Вопреки доводам жалобы общества оснований для применения положений статьи 2.9 и статьи 4.1.1 КоАП РФ судами не установлено. Доводы жалобы общества сводятся к несогласию с установленными судами фактическими обстоятельствами дела и оценкой доказательств, иному толкования положений действующего законодательства, выводы судов не опровергают и не свидетельствуют о существенных нарушениях норм материального и (или) процессуального права, которые могли повлиять на исход дела и являться достаточным основанием для пересмотра обжалуемых судебных актов в кассационном порядке. 4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