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14.01.2022 оставленным без изменения постановлением Арбитражного суда Волго-Вятского округа от 15.03.2022, апелляционная жалоба Соколова Н.М. возвращена в связи с неустранением в установленный срок обстоятельств, послуживших основанием для оставления жалобы без движения. В кассационной жалобе Соколов Н.М. просит об отмене судебных актов, ссылаясь на ненадлежащую оценку представленного во исправление недостатка в оформлении жалобы документа.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Апелляционный суд признал неисправленными недостатки в оформлении апелляционной жалобы, в связи с чем возвратил жалобу в соответствии пунктом 5 части 1 статьи 264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