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13.10.2021, оставленным без изменения постановлением Девятого арбитражного апелляционного суда от 13.12.2021, в удовлетворении требований отказано. Арбитражный суд Московского округа постановлением от 30.03.2022 оставил без изменения принятые судебные акты. Общество обратилось в Верховный Суд Российской Федерации с кассационной жалобой, в которой просит отменить судебные акты,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установлено судами, постановлением административного органа от 29.06.2021 прекращено производство по административному делу № СЗ-59-ЮЛ-21-2036/3140-1, возбужденному в отношении АО «Рождествено» на основании части 4 статьи 15.23.1 Кодекса Российской Федерации об административных правонарушениях (далее - КоАП РФ), ввиду малозначительности правонарушения. 3 Исследовав и оценив представленные в материалы дела доказательства в их совокупности и взаимосвязи, руководствуясь положениями КоАП РФ, Федерального закона от 26.12.1995 N 208-ФЗ «Об акционерных обществах» разъяснениями, изложенными в постановлении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постановлении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суды пришли к выводам о законности и обоснованности постановления административного органа и об отсутствии оснований для его отмены. Приведенные в жалобе доводы, направленные на переоценку установленных судами фактических обстоятельств, не свидетельствуют о наличии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