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29.07.2021, оставленным без изменения постановлением Пятнадцатого арбитражного апелляционного суда от 29.10.2021, заявленные требования удовлетворены. Арбитражный суд Северо-Кавказского округа постановлением от 25.02.2022 оставил без изменения принятые судебные акты. Управление обратилось в Верховный Суд Российской Федерации с кассационной жалобой, в которой просит отменить судебные акты, считая их принятыми с нарушением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Как следует из материалов дела, оспариваемым постановлением от 26.11.2020 № 143 общество привлечено к административной ответственности, предусмотренной частью 1 статьи 8.8 КоАП РФ, с назначением наказания в виде административного штрафа в размере 100 000 рублей. Оценив представленные доказательства в совокупности и взаимосвязи, руководствуясь положениями статей 1, 7, 40, 42, 85 Земельного кодекса Российской Федерации, статей 30, 36, 37 Градостроительного кодекса 3 Российской Федерации, статьи 8 Федерального закона от 13.07.2015 № 218-ФЗ «О государственной регистрации недвижимости», принимая во внимание Правила землепользования и застройки территории городского округа город- курорт Сочи, утвержденные решением Городского собрания Сочи от 29.12.2009 № 202 (в редакции от 10.12.2020), письмо Минтранса России от 15.01.2021 № Д7/468-ИС, суды, пришли к выводу об отсутствии у административного органа оснований для привлечения общества к административной ответственности предусмотренной частью 1 статьи 8.8 КоАП РФ ввиду отсутствия состава административного правонарушения. При этом суды исходили из того, что размещенный на спорном земельном участке объект общественного питания «Hookah Place» является вспомогательным видом использования спорного земельного участка в качестве объекта технологически связанного с назначением основного вида – деятельности морского порта/яхтенной марины. Доводы административного органа подлежат отклонению применительно к установленным фактическим обстоятельствам, связанным с использованием обществом спорного земельного участка в соответствии с вспомогательным видом разрешенного использования. Несогласие с выводами судов и с исходом судебного разбирательства, иное видение обстоятельств дела и иное толкование положений действующего законодательства не свидетельствуют о допущенном судами нарушении. Переоценка доказательств и установление новых обстоятельств по делу в полномочия кассационной инстанции Верховного Суда Российской Федерации не входят. Приведенные административным органом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4 Таким образом, основания для передачи жалобы административного органа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