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14.01.2022 оставленным без изменения постановлением Арбитражного суда Волго-Вятского округа от 15.03.2022, апелляционная жалоба Соколова Н.М. возвращена в связи с неустранением в установленный срок недостатков, послуживших основанием для оставления жалобы без движения. В кассационной жалобе Соколов Н.М. просит об отмене судебных актов, ссылаясь на ненадлежащую оценку представленного во исправление недостатка в оформлении жалобы документа.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Апелляционный суд признал неисправленными недостатки в оформлении апелляционной жалобы после оставления ее без движения, поэтому возвратил жалобу в соответствии пунктом 5 части 1 статьи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