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Второго арбитражного апелляционного суда от 14.01.2022 оставленным без изменения постановлением Арбитражного суда Волго-Вятского округа от 16.03.2022, апелляционная жалоба Соколова Н.М. возвращена в связи с неустранением в установленный срок обстоятельств, послуживших основанием для оставления жалобы без движения. В кассационной жалобе Соколов Н.М. просит об отмене судебных актов, ссылаясь на ненадлежащую оценку представленного во исправление недостатка в оформлении жалобы документа.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Апелляционный суд признал неисправленными недоставки в оформлении апелляционной жалобы, в связи с чем возвратил жалобу в соответствии пунктом 5 части 1 статьи 264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