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04.08.2021, оставленным без изменения постановлением Девятого арбитражного апелляционного суда от 27.09.2021, заявленные требования удовлетворены. Арбитражный суд Московского округа постановлением от 03.02.2022 оставил без изменения указанные судебные акты. Таможенный орган обратился в Верховный Суд Российской Федерации с кассационной жалобой, в которой просит отменить принятые судебные акты судов,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послуживших основанием для занижения размера подлежащих внесению таможенных платежей. Частью 2 статьи 16.2 КоАП установлена ответственность за заявление декларантом либо таможенным представителем при таможенном 3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Таможенного кодекса Евразийского экономического союза, приняв во внимание вступившее в законную силу решение Арбитражного суда города Москвы от 22.04.2021 по делу № А40-36127/2021, суды пришли к выводу об отсутствии вины общества в совершении административного правонарушения, ответственность за которое предусмотрена частью 2 статьи 16.2 КоАП РФ, поскольку на момент таможенного декларирования товара у таможенного представителя не имелось информации и документов о необходимости включения в таможенную стоимость товара каких-либо дополнительных элементов, в том числе надбавки «Adder» 31%. Доводы жалобы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