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Плотициной Надежды Игоревны в Арбитражный суд Свердловской области обратился финансовый управляющий имуществом должника Макаров Валерий Викторович с заявлением о признании договора займа и договор залога недвижимости от 17.03.2016, заключенных между должником и Лотоцкой Ольгой Александровной, недействительными; признании недействительной сделкой передачу должником Лотоцкой О.А. денежных средств в размере 15 000 000 рублей, полученных в счет полного погашения задолженности по договору займа от 17.03.2016, вырученных должником от реализации квартиры общей площадью 116,1 кв.м. по договору купли-продажи квартиры от 11.09.2017, заключенному должником с Черницыной Мариной Петровной, и взыскании с Лотоцкой О.А. в конкурсную массу должника указанных денежных средств. К участию в споре в качестве третьего лица, не заявляющего самостоятельных требований относительно предмета спора, привлечен Черницын Станислав Игоревич. 2 Определением Арбитражного суда Свердловской области от 01.07.2021 признаны недействительными сделками договоры займа и залога недвижимости от 17.03.2016, заключенные между должником и Лотоцкой О.А.; в удовлетворении заявления в остальной части отказано. Постановлением Семнадцатого арбитражного апелляционного суда от 27.10.2021 определение суда первой инстанции оставлено без изменения. Арбитражный суд Уральского округа постановлением от 10.02.2022 указанные судебные акты оставил без изменения. Лотоцкая Ольга Александровна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пунктом 1 статьи 170 Гражданского кодекса Российской Федерации, исходили из доказанности мнимости сделок, поскольку целью создания заемных отношений было последующее включение в реестр требований кредиторов должника дружественного кредитора с предоставлением ему залоговых прав, аффилированности должника и кредитора, учли неоднократное использование должником схемы с конструированием заемных отношений, обеспечиваемых ипотекой принадлежащей должнику недвижимости, отсутствие достаточных доказательств необходимости выдачи должнику беспроцентного займа, расходования должником денежных средств, полученных по договору займа, а также отсутствие доказательств принятия заявителем каких-либо мер по истребованию у должника полученных денежных средств после прекращения залога в связи с реализацией должником квартиры, являющей обеспечением возвратности займа, признав не пропущенным срок исковой давности.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Лотоцкой Ольге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