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унитарная некоммерческая организация в организационно-правовой форме фонда «Фонд защиты прав граждан – участников долевого строительства Московской области» (далее – фонд, приобретатель) обратилась в суд с заявлением о передаче прав застройщика на земельные участки (кадастровый номер 50:55:0030918:1 площадью 4 807 кв.м.; кадастровым номером 50:55:0030919:273 площадью 5 193 кв.м.), с определением соотношения между передаваемыми фонду правами должника на земельные участки с находящимися на них неотделимыми улучшениями и совокупным размером требований участников строительства, включённых в реестр требований участников строительства, установив как итог размер требований фонда, подлежащих включению в реестр требований кредиторов должника (далее – реестр) в соответствии с пунктом 4 статьи 201.15-1 Федерального закона от 26.10.2002 № 127-ФЗ «О несостоятельности (банкротстве)» (далее – Закон о банкротстве). Определением Арбитражного суда Московской области от 08.09.2021 заявление удовлетворено, определён размер требований фонда, подлежащих включению с реестр, в сумме 238 151 808 рублей 24 копейки. 2 Постановлением Десятого арбитражного апелляционного суда от 17.12.2021 данное определение отменено в части включения требования фонда в реестр, отказано в удовлетворении требования. В кассационной жалобе, поданной в Верховный Суд Российской Федерации, заявитель просит отменить постановление апелляционного суда в части отказа во включении требований фонда в реестр, принять в данной части новый судебный акт о признании их обоснованными в размере 94 933 536 рублей и включении в третью очередь реестра. 28.03.2022 от публичной правовой компании «Фонд развития территорий» поступил отзыв на кассационную жалобу, в котором последний просит жалобу удовлетворить, приводя доводы о наличии оснований для включения требований фонда в размере 94 933 536 рублей в реестр.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спора были допущены судом апелляционной инстанции. Материалы дела истребованы из Арбитражного суда Московской области. При изучении доводов кассационной жалобы и отзыва по материалам истребованного дела,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решением Арбитражного суда Московской области от 16.09.2020 по настоящему делу должник признан банкротом, открыто конкурсное производство, конкурсным управляющим должником утверждён Тулинов С.В. В суд поступило настоящее заявление фонда о передаче прав застройщика, удовлетворяя которое суд первой инстанции пришёл к выводу о превышении совокупного размера требований участников строительства, включенных в реестр, над стоимостью прав застройщика на земельный участок с находящимися на нем неотделимыми улучшениями и, как следствие, о необходимости включения в реестр требований фонда в размере 238 151 808 рублей 24 копейки. Суд апелляционной инстанции согласился с доводом конкурсного кредитора должника о необоснованном включении конкурсным управляющим должником в совокупный размер требований участников строительства убытков, предусмотренных пунктом 2 статьи 201.5 Закона о банкротстве. Апелляционный суд пришел к выводу о том, что поскольку с применением способа защиты прав участников строительства, указанного в статье 201.15.1 3 Закона о банкротстве, денежные требования участников строительства по возмещению убытков признаются погашенными, следовательно, данные убытки не учитываются при передаче объекта приобретателю. По расчету апелляционного суда, размер требований участников строительства, включенных в реестр, без учета убытков, предусмотренных пунктом 2 статьи 201.5 Закона о банкротстве, составил 489 578 516 рублей 29 копеек, а рыночная стоимость передаваемых прав - 700 784 296 рублей, следовательно, отсутствуют основания для включения требований фонда в реестр. Выражая несогласие с выводами апелляционного суда, заявитель настаивает на ошибочности выводов апелляционного суда о превышении стоимости прав застройщика над совокупным размером требований участников строительства, полагая, что убытки в виде реального ущерба, причиненного нарушением обязательств застройщика по передаче жилого помещения (пункт 2 статьи 201.5 Закона о банкротстве) подлежат учёту в совокупном размере требований участников строительства при определении итогового соотношения. По расчету заявителя, совокупный размер требований участников строительства больше стоимости прав застройщика на 94 933 536 рублей и, как следствие, требования фонда в данном размере подлежат включению в реестр. Приведённые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конкурсного управляющего обществом с ограниченной ответственностью «Региональная перерабатывающая компания» Тулинова Сергея Владимировича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27 июня 2022 года на 10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