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12.08.2021 заявленные требования удовлетворены. 2 Постановлением Девятого арбитражного апелляционного суда от 13.10.2021 решение суда первой инстанции отменено, в удовлетворении заявленных требований отказано. Постановлением Арбитражного суда Московского округа от 01.02.2022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оставить в силе решение суда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дополнений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3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Отменяя решение суда первой инстанции и принимая новое решение об отказе в удовлетворении требований, суд апелляционной инстанции руководствовался положениями Федерального закона от 10.12.2003 № 173-ФЗ «О валютном регулировании и валютном контроле», и исходил из установленных обстоятельств, свидетельствующих о том, что обществом не предпринято всех зависящих от него мер для соблюдения требований валютного законодательства, в связи с чем суд пришел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Процедура и срок давности привлечения к административной ответственности соблюдены. Штраф назначен административным органом в минимальном размере санкции нормы. Поскольку размер назначаемого штрафа в рассматриваемом случае зависит от суммы незаконной валютной операции, и оснований для применения положений статьи 2.9, части 3.2 статьи 4.1 и статьи 4.1.1 Кодекса Российской Федерации об административных правонарушениях не установлено, вынесение нескольких постановлений о назначении административного наказания не 4 нарушило права и законные интересы общества (не повлияло на размер штрафа). Ссылка на судебный акт в отношении директора филиала не может быть принята во внимание с учетом разного механизма исчисления штрафа по спорной норме для юридических лиц и должностных лиц. Нарушения прав и законных интересов общества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выявлено. Поскольку размер штрафа в рассматриваемом случае зависит от суммы незаконной операции, как вынесение нескольких постановлений о назначении административного наказания нарушило права и законные интересы общества (повлияло на размер штрафа), в жалобе не указано. Вопреки доводам жалобы, течение срока давности привлечения к ответственности в данном случае оканчивается фактом вынесения постановления по делу об административном правонарушении. Приведенный в жалобе принцип недопустимости ухудшения положения лица, привлеченного к ответственности применительно к рассматриваемому случаю означает, что суд апелляционной инстанции не вправе был назначить наказание более строгое по сравнению с наказанием, назначенным постановлением административного органа. Таких обстоятельств не установлено.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