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15.06.2021, оставленным без изменения постановлением Тринадцатого арбитражного апелляционного суда от 04.08.2021, производство по делу в части требования об оспаривании протоколов прекращено, в удовлетворении заявления в остальной части отказано. Постановлением Арбитражного суда Северо-Западного округа от 26.01.2022 судебные акты оставлены без изменения. Общество обратилось в Верховный Суд Российской Федерации с кассационной жалобой на указанные судебные акты, в которой просит их отменить, ссылаясь на допущенные судами нарушения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выдачи обществу предписания и привлечения к ответственности послужили выводы комитета об эксплуатации обществом объектов для размещения информации без разрешения уполномоченного органа. 3 Пунктом 2 статьи 16 Закона № 273-70 (в редакции, действовавшей в спорный период) предусмотрена ответственность за самовольную установку или перемещение объекта для размещения информации без разрешения, выданного уполномоченным Правительством Санкт-Петербурга исполнительным органом государственной власти Санкт-Петербурга, а равно эксплуатация указанных объектов, установленных и (или) перемещенных самовольно, без разрешения, выданного уполномоченным Правительством Санкт-Петербурга исполнительным органом государственной власти Санкт- Петербурга. Оценив представленные доказательства, приняв во внимание положения Правил благоустройства территории Санкт-Петербурга, утвержденные постановлением Правительства Санкт-Петербурга от 09.11.2016 № 961, и установив, что обществом эксплуатируется объект для размещения информации без разрешения, выданного уполномоченным правительством Санкт-Петербурга исполнительным органом государственной власти Санкт- Петербурга, суды пришли к выводу об обоснованности выданного обществу предписания и о наличии в действиях общества состава административного правонарушения, ответственность за которое установлена пунктом 2 статьи 16 Закона № 273-70. При этом суды указали на пропуск обществом срока на подачу заявления в арбитражный суд об оспаривании предписания и постановлений о привлечении к административной ответственности в отсутствие уважительных причин и ходатайства о восстановлении такого срока, что является самостоятельным основанием для отказа в удовлетворении заявленных требований.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4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