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Фирова Владимира Николаевича в Арбитражный суд города Москвы обратилось общество с ограниченной ответственностью «РегионКонсалт» с заявлением об установлении требования в реестре требований кредиторов, обеспеченного залогом имущества должника. Определением Арбитражного суда города Москвы от 08.10.2021 установлено требование ООО «РегионКонсалт» в реестре требований кредиторов должника в размере 21 533 512 рублей 04 копеек как обеспеченное залогом имущества должника. Постановлением Девятого арбитражного апелляционного суда от 23.12.2021 определение суда первой инстанции оставлено без изменения. Арбитражный суд Московского округа постановлением от 28.02.2022 указанные судебные акты оставил без изменения. Фиров Владимир Николаевич обратился в Судебную коллегию Верховного Суда Российской Федерации с кассационной жалобой на принятые 2 по обособленному спору судебные акты, ссылаясь на существенные нарушения норм права В представленном на кассационную жалобу отзыве общество с ограниченной ответственностью «РегионКонсалт» просит отказать в удовлетворении жалобы, ссылаясь на отсутствие существенных нарушений норм права, повлиявших на исход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с учетом отзыва на жалобу, не установлено. Разрешая спор, суды руководствовались положениями статей 334, 334.1, 335, 337, 348 Гражданского кодекса Российской Федерации, статьями 16, 71, 100, 138, 213.11 Федерального закона от 26.10.2002 № 127-ФЗ «О несостоятельности (банкротстве)», разъяснениями, изложенными в постановлении Пленума Высшего Арбитражного Суда Российской Федерации от 23.07.2009 № 58 «О некоторых вопросах, связанных с удовлетворением требований залогодержателя при банкротстве залогодателя», исходили из наличия у кредитора прав залога в соответствии с записью в ЕГРН, представления доказательств наличия предмета залога в натуре и признали за обществом статус залогового кредитора, отклонив доводы должника о прекращении производства по заявлению кредитора в связи с ранее рассмотренным тождественным заявлением, указав, что определение об отказе в признании статуса залогового кредитора принято по иному основанию.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3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Фирову Владимиру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