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27.07.2021, оставленным без изменения постановлением Двадцатого арбитражного 2 апелляционного суда от 07.12.2021, в удовлетворении заявленных требований отказано. Постановлением Арбитражного суда Центрального округа от 10.03.2022 указанные судебные акты оставлены без изменения. В кассационной жалобе общество просит отменить принятые по делу судебные акты как незаконные и необоснованные,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статьи 17 Федерального закона от 26.07.2006 № 135-ФЗ «О защите конкуренции», статей 1, 3, 4 Федерального закона от 18.07.2011 № 223-ФЗ «О закупках товаров, работ, услуг отдельными видами юридических лиц», суды в удовлетворении требований отказали, признав доказанным, что действия заказчика не приводят к ограничению конкуренции при проведении закупки. Доводы жалобы были предметом исследования судов и получили исчерпывающую правовую оценку в обжалуемых судебных актах применительно к установленным обстоятельствам, связанным с указанием при 3 описании предмета закупки качественных и функциональных характеристик и мерами обеспечения эффективности такой закупки,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