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30.06.2021 общество привлечено к административной ответственности за совершение правонарушения, предусмотренного частью 4 статьи 14.1 Кодекса Российской Федерации об административных правонарушениях и ему назначено наказание в виде штрафа в размере 100 000 рублей. 2 Определением Пятнадцатого арбитражного апелляционного суда от 16.12.2021 апелляционная жалоба общества возвращена в связи с пропуском срока на обжалование и отказом в удовлетворении ходатайства о его восстановлении. Постановлением Арбитражного суда Северо-Кавказского округа от 09.02.2022 определение суда апелляционной инстанции оставлено без изменения. Общество в кассационной жалобе просит состоявшиеся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При решении вопроса о восстановлении срока на подачу апелляционной жалобы апелляционный суд исходил из пропуска срока на обжалование решения суда первой инстанции, и отсутствия уважительных и независящих от заявителя причин для его восстановления. При этом суд руководствовался положениями статей 9, 117, 121, 123, 259, 264 Арбитражного кодекса Российской Федерации, правовой позицией, изложенной в пункте 32 постановления Пленума Высшего Арбитражного Суда Российской Федерации от 25.12.2013 № 99 «О процессуальных сроках», пункте 14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пункте 63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Федерации». 3 Проверяя в последующем обоснованность возврата апелляционной жалобы, суд кассационной инстанции не установил нарушений норм процессуального права. Доводы относительно причин пропуска срока на обжалование решения суда первой инстанции, изложенные в жалобе, приводились при рассмотрении дела, получили надлежащую правовую оценку с учетом представленных сторонами доказательств и установленных обстоятельств, связанных с направлением судом корреспонденции по адресу регистрации общества и не обеспечением обществом ее получения, не согласиться с которой оснований не имеется. Ссылка заявителя в кассационной жалобе на новое доказательство подлежит отклонению как относящаяся к фактическим обстоятельствам спора, правом исследования и установления которых суд кассационной инстанции не наделен. Представление таких доказательств в суд кассационной инстанции не образует предусмотренных законом оснований для пересмотра обжалуемых судебных актов в кассационном порядке. Существенных нарушений норм процессуального права, повлиявших на исход дела, и являющихся достаточным основанием для пересмотра судебных актов в кассационном порядке, указанные в жалобе доводы не подтверждают.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