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Тюменской области от 26.07.2021, оставленным без изменения постановлением Восьмого арбитражного апелляционного суда от 12.10.2021, в иске отказано. Постановлением Арбитражного суда Западно-Сибирского округа от 28.01.2022 указанные судебные акты оставлены без изменения. 2 В кассационной жалобе общество «Фирма Мера» просит отменить принятые по делу судебные акты как незаконные и необоснованные, направить дело на новое рассмотрение в суд первой инстанции. Согласно пункту 1 части 7 статьи 2916 Арбитражного процессуального кодекса Российской Федерации по результатам изучения кассационной жалобы, представления судья Верховного Суда Российской Федерации выносит определение об отказе в передаче кассационных жалобы, представления для рассмотрения в судебном заседании Судебной коллегии Верховного Суда Российской Федерации, если изложенные в кассационных жалобе, представлении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 и (или) для решения вопроса о присуждении компенсации за нарушение права на судопроизводство в разумный срок, а также если указанные доводы не находят подтверждения в материалах дела. Основания для пересмотра судебных актов в кассационном порядке по доводам жалобы отсутствуют. Оценив представленные доказательства, руководствуясь положениями статей 1, 6, 12, 14.1, 16.1 Федерального закона от 25.04.2002 № 40-ФЗ «Об обязательном страховании гражданской ответственности владельцев транспортных средств», пунктами 53, 66 постановления Пленума Верховного Суда РФ от 26.12.2017 № 58 «О применении судами законодательства об обязательном страховании гражданской ответственности владельцев транспортных средств», суды отказали в иске, признав недоказанным факт уклонения страховщика от устранения выявленных недостатков и (или) ненадлежащего проведения восстановительного ремонта. Доводы жалобы были предметом исследования судов и получили исчерпывающую правовую оценку в обжалуемых судебных актах, в том числе с учетом требований статьи 9 Арбитражного процессуального кодекса Российской Федерации, не согласиться с которой оснований не имеется. 3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На основании изложенного и руководствуясь статьями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