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Дмитриева Т.В. обратилась в суд с жалобой на действия (бездействия) конкурсного управляющего должником. Определением Арбитражного суда Воронежской области от 19.04.2021 заявленные требования удовлетворены в части. Признаны незаконными действия конкурсного управляющего Мамхеговой Ж.Х., выразившиеся в нарушении срока опубликования в ЕФРСБ сведений о получении требований МКУ «Административно-техническая инспекция города Нижнего Новгорода», бездействие, выразившееся в уклонении от оспаривания сделки должника с ООО «Юг-Металл» и привлечении Доткулова Т.Ю. к субсидиарной ответственности. В остальной части в удовлетворении жалобы отказано. Постановлением Девятнадцатого арбитражного апелляционного суда от 26.11.2021, оставленным без изменения постановлением Арбитражного суда Центрального округа от 28.02.2022 определение суда первой инстанции в части признания незаконными действий конкурсного управляющего Мамхеговой Ж.Х., выразившихся в нарушении срока опубликования в ЕФРСБ сведений о получении требований МКУ «Административно-техническая инспекция города Нижнего Новгорода» отменено. В данной части в удовлетворении жалобы отказано. В части признания незаконными бездействия конкурсного 2 управляющего, выразившегося в уклонении от оспаривания сделки должника с ООО «Юг-Металл» и привлечении Доткулова Т.Ю. к субсидиарной ответственности, оставлено без изменения. В кассационной жалобе, поданной в Верховный Суд Российской Федерации, заявитель просит отменить постановление суда округа полностью, ссылаясь на нарушение им норм процессуального права, дело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Суд округа, соглашаясь с выводами суда апелляционной инстанции, руководствуясь статьями 16, 20.3, 129 Федерального закона от 26.10.2002 № 127-ФЗ «О несостоятельности (банкротстве)», пунктом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ненадлежащего выполнения конкурсным управляющим своих обязанностей, выразившихся в уклонении от оспаривания сделки должника и не подачи заявления о привлечении к субсидиарной ответственности контролирующего должника лица. Довод заявителя, о нарушении судом округа норм процессуального права, не свидетельствует и принятии неправильного судебного акта по существу спора и не может рассматриваться в качестве безусловного основания для его отмены.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«Каштан» Мамхеговой Жанне Хусеновне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