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заявитель обратился в суд с заявлением о признании обоснованными требований в размере 2 410 746 рублей и подлежащими удовлетворению за счет оставшегося после удовлетворения требований кредиторов, включенных в реестр требований кредиторов. Определением Арбитражного суда Челябинской области от 28.04.2021 заявленные требования удовлетворены. Не согласившись с вышеуказанным судебным актом, Морозов Сергей Александрович обратился в суд апелляционной инстанции. Определением Восемнадцатого арбитражного апелляционного суда от 02.02.2022 производство по апелляционной жалобе прекращено в связи с пропуском срока на обжалование судебного акта. Постановлением Арбитражного суда Уральского округа от 01.04.2022 определение суда апелляционной инстанции отменено, дело направлено на новое рассмотрение в Восемнадцатый арбитражный апелляционный суд. 2 В кассационной жалобе, поданной в Верховный Суд Российской Федерации, заявитель просит отменить постановление суда округа, ссылаясь на нарушение судом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апелляционной инстанции и направляя дело на новое рассмотрение, суд округа руководствовался разъяснениями, изложенными в пункте 14 Постановления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 и исходил из того, что апелляционная жалоба подана Морозовым С.А. (лицом, привлеченным к субсидиарной ответственности) в предельно допустимый шестимесячный срок (01.12.2021), поскольку только с момента вступления в силу постановления Конституционного Суда Российской Федерации от 16.11.2021 № 49-П «По делу о проверке конституционности статьи 42 Арбитражного процессуального кодекса Российской Федерации и статьи 34 Федерального закона «О несостоятельности (банкротстве)» у него появилась возможность обжаловать судебный акт об обоснованности требований заявителя к должнику.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Выводы суда соответствуют нормам права, оснований для переоценки этих выводов по доводам жалобы не имеется. Довод заявителя о его ненадлежащем извещении судом округа не может быть принят во внимание, поскольку заявитель является участником обособленного спора, а в силу части 6 статьи 121 Арбитражного процессуального кодекса Российской Федерации такое лицо должно самостоятельно предпринимать меры по получению информации о движении дела с использованием любых источников такой информации и любых средств связи, указанное лицо несет риск наступления неблагоприятных последствий в результате непринятия таких мер. При указанных обстоятельствах, оснований для передачи кассационной жалобы на рассмотрение в судебном заседании Судебной коллегии Верховного Суда Российской Федерации не имеется. 3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«Южноуральский лизинговый 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