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конкурсный управляющий Свистунов Антон Юрьевич (далее - конкурсный управляющий) обратился в суд с заявлением об утверждении Положения о порядке, сроках и условиях реализации имущества должника (дебиторская задолженность) в редакции конкурсного управляющего. Определением Арбитражного суда Челябинской области от 21.05.2021, оставленным без изменения постановлениями Восемнадцатого арбитражного апелляционного суда от 21.10.2021 и Арбитражного суда Уральского округа от 09.02.2022, заявление удовлетворено. В кассационной жалобе, поданной в Верховный Суд Российской Федерации, заявитель просит отменить указанные судебные акты, ссылаясь на нарушение норм материального права.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126, 129, 139, 142 Федерального закона от 26.10.2002 № 127-ФЗ «О несостоятельности (банкротстве)», исходили из того, что предложенный конкурсным управляющим вариант положения о порядке реализации соответствует требованиям законодательства о банкротстве, не нарушает прав и законных интересов должника и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были предметом рассмотрения судов, основаны на несогласии с принятыми по делу судебными актами и направлены на переоценку установленных судами фактических обстоятельств по делу.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Гаммадову Ибрагиму Каландаровичу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