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Воронцов Антон Александрович обратился в суд с заявлением об установлении ему стимулирующего вознаграждения в виде 30% суммы погашенных требований, включённых в реестр требований кредиторов должника, взыскании стимулирующего вознаграждения в размере 30 860 768 рублей 33 копейки солидарно с Кутлунина Александра Егоровича (далее – третье лицо), Дергачева Аркадия Александровича, Василевицкого Якова Моисеевича, Медведева Дмитрия Владимировича и общества с ограниченной ответственностью «Скандойл М». Определением Арбитражного суда Омской области от 13.10.2021, оставленным без изменения постановлениями Восьмого арбитражного апелляционного суда от 22.12.2021 и Арбитражного суда Западно-Сибирского округа от 18.02.2022, в удовлетворении заявления отказано.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пунктом 3.1 статьи 20.6 Федерального закона от 26.10.2002 № 127-ФЗ «О несостоятельности (банкротстве)», пунктом 65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прямой взаимосвязи между намерением третьего лица погасить требования кредиторов и действиями заявителя – конкурсного управляющего должником, в связи с чем пришли к выводу о необоснованности заявленных требований и отказали в их удовлетворении.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Кузнецову Владимиру Владимировичу, арбитражному управляющему Воронцову Антону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