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подлежал рассмотрению вопрос выбора кредиторами должника способа распоряжения правом требования к привлечённым к субсидиарной ответственности лицам – бывшему руководителю должника Завизиону Михаилу Владимировичу, учредителям должника Крючкову Кириллу Владимировичу и Камышному Константину Васильевичу. Определением Арбитражного суда города Москвы от 22.07.2021 произведена процессуальная замена взыскателя (должника) на его правопреемников: Инспекцию Федеральной налоговой службы № 4 по г. Москве (далее – уполномоченный орган) по требованиям к Завизиону М.В., Крючкову К.В. и Камышному К.В. в размере 263 110 рублей; акционерное общество «БМ-Банк» (далее – банк) по требованиям к Завизиону М.В., Крючкову К.В. и Камышному К.В. в размере 254 953 622 рубля. Постановлением Девятого арбитражного апелляционного суда от 02.12.2021, оставленным без изменения постановлением Арбитражного суда Московского округа от 17.02.2022, данное определение было изменено. Произведена процессуальная замена взыскателя (должника) на его правопреемников: уполномоченный орган по требованиям к Крючкову К.В. в размере 263 110 рублей; банк по требованиям к Крючкову К.В. в размере 254 953 622 рубля. В кассационной жалобе, поданной в Верховный Суд Российской Федерации, заявитель просит отменить постановление судов апелляционной 2 инстанции и округа,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статьёй 48 Арбитражного процессуального кодекса Российской Федерации, статьями 322, 325 Гражданского кодекса Российской Федерации, статьёй 61.17 Федерального закона от 26.10.2002 № 127-ФЗ «О несостоятельности (банкротстве)», исходили из того, что требования к Завизиону М.В. и Камышному К.В. приобретены заявителем по результатам торгов, а в отношении нереализованного на торгах требования к Крючкову К.В. кредиторами – уполномоченным органом и банком выбран способ распоряжения путём уступки им части требования, в связи с чем осуществили правопреемство на стороне взыскателя (должника) согласно волеизъявлению названных кредиторов.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Сливаеву Дмитрию Исаевичу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