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индивидуальный предприниматель Мухаметов Алмаз Наилевич обратился в суд с заявлением о включении в реестр требований кредиторов должника (далее – реестр) неустойки в размере 941 440 рублей 50 копеек. Определением Арбитражного суда Республики Татарстан от 03.11.2021, оставленным без изменения постановлениями Одиннадцатого арбитражного апелляционного суда от 30.12.2021 и Арбитражного суда Поволжского округа от 25.03.2022, заявление удовлетворено в части включения в состав третей очереди реестра 939 081 рубля неустойки за период с 06.09.2019 по 07.10.2020. В удовлетворении остальной части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330 Гражданского кодекса Российской Федерации, статьями 71, 100 Федерального закона от 26.10.2002 № 127-ФЗ «О несостоятельности (банкротстве)», пунктами 71, 75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исходили из отсутствия доказательств несоразмерности неустойки последствиям неисполнения должником обязательств, не усмотрели оснований для её снижения и, проверив расчет, включили данную неустойку в скорректированном размере в состав третьей очереди реестра.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получивших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Асханову Ильясу Ниловичу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