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«Автострада» (далее – кредитор) обратилось в суд с заявлением о включении в третью очередь реестра требований кредиторов должника (далее – реестр) задолженности в размере 341 423 рубля 80 копеек. Индивидуальный предприниматель Морозов Олег Олегович (далее – предприниматель) обратился в суд с заявлением о процессуальном правопреемстве кредитора на себя, объединённым с вышеуказанным заявлением в одно производство для совместного рассмотрения. Определением Арбитражного суда Белгородской области от 07.06.2021, оставленным без изменения постановлениями Девятнадцатого арбитражного апелляционного суда от 28.10.2021 и Арбитражного суда Центрального округа от 01.02.2022, заявления удовлетворены.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Белгородской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статьёй 48 Арбитражного процессуального кодекса Российской Федерации, статьями 382, 384 Гражданского кодекса Российской Федерации, статьями 71, 100 Федерального закона от 26.10.2002 № 127-ФЗ «О несостоятельности (банкротстве)», исходили из обоснованности требования к должнику и установленного факта его уступки предпринимателю, в связи с чем произвели замену кредитора и включили его требование в третью очередь реестра.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Белгорода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