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24.06.2021, оставленным без изменения постановлением Четырнадцатого арбитражного апелляционного суда от 18.08.2021, в удовлетворении требования отказано. 2 Постановлением Арбитражного суда Северо-Западного округа от 03.02.2022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кассационной жалобы и принятых по делу судебных актов оснований для удовлетворения жалобы не установлено. Частью 5 статьи 19.8 Кодекса Российской Федерации об административных правонарушениях предусмотрена ответственность за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за исключением случаев, предусмотренных частями 3, 4 и 7 настоящей статьи, а равно представление в федеральный антимонопольный орган, его территориальный орган заведомо недостоверных сведений (информации), за исключением случаев, предусмотренных частью 8 настоящей статьи. Оценив представленные доказательства, руководствуясь положениями Федерального закона от 26.07.2006 № 135-ФЗ «О защите конкуренции», суды пришли к выводу о наличии в действиях общества, своевременно не представившего в полном объеме антимонопольному органу истребованные сведения (документы), состава правонарушения, ответственность за которое предусмотрена частью 5 статьи 19.8 Кодекса Российской Федерации об административных правонарушениях. При этом суды признали, что правонарушение совершено в сфере антимонопольного законодательства, в отношении которого часть 1 статьи 4.5 Кодекса Российской Федерации об административных правонарушениях устанавливает годичный срок давности привлечения к административной ответственности. 3 Конституционный Суд Российской Федерации в постановлении от 17.01.2013 № 1-П указал, что наложение штрафа в соответствии с частью 5 статьи 19.8 Кодекса Российской Федерации об административных правонарушениях является мерой административной ответственности за нарушение антимонопольного законодательства, отметив при этом, что за такое нарушение КоАП РФ предусмотрен увеличенный срок давности привлечения к административной ответственности. Правовая позиция о том, что правонарушение, предусмотренное частью 5 статьи 19.8 Кодекса Российской Федерации об административных правонарушениях, является нарушением антимонопольного законодательства, в отношении которого часть 1 статьи 4.5 устанавливает годичный срок давности привлечения к административной ответственности, также отражена в определении Верховного Суда Российской Федерации от 18.01.2022 № 302-ЭС21-2560, пункте 47 Обзора судебной практики Верховного Суда Российской Федерации № 3 (2019), утвержденного Президиумом Верховного Суда Российской Федерации 27.11.2019, в пункте 17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16.03.2016. Иные доводы, изложенные в жалобе, приводились при рассмотрении дела, получили надлежащую правовую оценку с учетом установленных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