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08.07.2021 первоначальные исковые требования удовлетворены, в удовлетворении встречного иска отказано. Постановлением Тринадцатого арбитражного апелляционного суда от 08.10.2021 институт заменен на правопреемника – акционерное общество 2 «Атомэнергопроект», решение суда первой инстанции оставлено без изменения. Постановлением Арбитражного суда Северо-Западного округа от 25.01.2022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компания, ссылаясь на нарушение судами норм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Как следует из судебных актов, предъявленные взаимные требования института (генподрядчик, впоследствии ввиду замены соглашением от 19.07.2011 стороны - заказчик) и компании (поставщик) основаны на договоре поставки от 10.09.2010 № 7755/10460 (в редакции дополнительных соглашений; далее - договор), от исполнения которого институт отказался в одностороннем порядке в связи с непоставкой компанией оборудования. Исследовав и оценив по правилам статьи 71 Арбитражного процессуального кодекса Российской Федерации представленные в материалы дела доказательства, квалифицировав договор как смешанный, содержащий элементы договоров поставки и подряда, установив факт перечисления заказчиком поставщику аванса по договору, расторжения договора вследствие одностороннего отказа заказчика от его исполнения и отсутствие доказательств поставки компанией оборудования, руководствуясь статьями 309, 310, 395, 421, 450, 450.1, 487, 506, 516, 523 Гражданского кодекса Российской Федерации суды первой и апелляционной инстанций пришли к выводу о наличии оснований для удовлетворения первоначальных исковых требований. Исходя из того, что стоимость работ по изготовлению технической документации стороны не согласовывали, сам по себе результат таких работ для заказчика не имеет потребительской ценности, данные работы необходимы для поставки оборудования, суды отказали в удовлетворении встречного иска.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3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«Финансовая Энергетическая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