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03.08.2021, оставленным без изменения постановлением Пятнадцатого арбитражного апелляционного суда от 29.09.2021 и постановлением Арбитражного суда Северо-Кавказского округа от 20.01.2022, в удовлетворении исковых требований отказано. В кассационной жалобе, поданной в Верховный Суд Российской Федерации, предприниматель, ссылаясь на нарушение судами норм 2 материального и процессуального права, просит отменить указанные судебные акты и принять по делу новый судебный акт об удовлетворении исковых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для пересмотра обжалуемых судебных актов в кассационном порядке по доводам, изложенным заявителем жалобы, не установлено. Как следует из судебных актов, исковые требования мотивированы тем, что общество не исполнило обязательства по договорам от 10.04.2019 № СМР-10042019-01, от 28.01.2019 № РИТ-У-28012019-00 (далее – договоры) и не возвратило истцам полученный аванс.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общество выполнило работы (оказало услуги) по договорам, результат которых принят и используется истцами; факт выполнения спорных работ иным лицом не доказан, отметив, что уведомления о расторжении договоров направлены истцами ответчику после завершения им всех работ, руководствуясь статьями 309, 310, 450, 702, 708, 711, 715, 717, 721, 723, 753, 758, 759, 762 Гражданского кодекса Российской Федерации, суды первой и апелляционной инстанций пришли к выводу об отсутствии оснований для удовлетворения исковых требований. Суд округа согласился с выводами судов первой и апелляционной инстанций. Доводы кассационной жалобы не опровергают выводы судов, не подтверждают существенных нарушений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По существу они направлены на переоценку установленных фактических обстоятельств, что не входит в полномочия суда при кассационном производстве. Ходатайство заявителя о назначении экспертизы рассмотрению не подлежит, поскольку заявлено без учета полномочий суда кассационной инстанции.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Зубреевой Анастасии Федоровны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