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требований в размере 41 369 980 рублей 17 копеек. Впоследствии требование в размере 32 660 485 рублей 77 копеек выделено судом в отдельное производство, в рамках настоящего обособленного спора подлежали рассмотрению требования в размере 8 709 494 рубля 41 копейки. Определением Арбитражного суда Кемеровской области от 17.06.2021, оставленным без изменения постановлениями Седьмого арбитражного апелляционного суда от 21.09.2021 и Арбитражного суда Западно-Сибирского округа от 26.01.2022, заявление удовлетворено частично, в третью очередь реестра включены требования общества в размере 3 077 710 рублей 41 копейки,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указанные судебные акты в части отказа во включении в реестр требований общества в размере 5 631 784 рубля и принять новый судебный акт об удовлетворении заявления в полном объёме.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100 Федерального закона от 26.10.2002 № 127-ФЗ «О несостоятельности (банкротстве)», а также экспертным заключением, исходили из доказанности наличия оснований для отказа во включении в реестр требований о полной оплате работ, выполненных обществом, ввиду несения должником расходов для устранения их недостатков.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«Строительное управление механизации-7» Гудникову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