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мая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Севастополя от 27.04.2021, оставленным без изменения постановлением Двадцать первого арбитражного апелляционного суда от 07.10.2021 и постановлением Арбитражного суда Центрального округа от 27.01.2022, первоначальные исковые требования удовлетворены частично, инвестиционный договор от 22.03.2019, заключенный между компанией и обществом расторгнут, с общества в пользу компании взыскана задолженность в размере 6 584 410 руб. 51 коп., в удовлетворении 2 остальной части требований отказано; в удовлетворении встречного иска отказано. В кассационной жалобе, поданной в Верховный Суд Российской Федерации, общество, ссылаясь на нарушение судами норм материального и процессуального права, просит отменить указанные судебные акты и направить дело на новое рассмотрение в Арбитражный суд города Севастополя в ином составе судей.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Как следует из судебных актов, компания (инвестор) и общество (заказчик) 22.03.2019 заключили инвестиционный договор на строительство (далее - договор), согласно разделу 1 которого, стороны обязалась объединить имущество, денежные средства, иные материальные ресурсы, профессиональный опыт, деловую репутацию, деловые связи и усилия, совместно действовать, без образования юридического лица, с целью строительство единого многофункционального комплекса. К указанному договору стороны подписали ряд дополнительных соглашений. Ссылаясь на то, что общество не исполнило требования по оплате строительно-монтажных, проектных и изыскательских работ, включая затраты на проведение экспертизы на общую сумму 6 107 658 руб., компания обратилась в арбитражный суд с иском о расторжении договора и взыскании убытков в размере 11 459 538 руб. 51 коп. Полагая, что действиями компании обществу причинены убытки, последнее предъявило встречный иск о взыскании упущенной выгоды в размере 34 917 600 руб. Частично удовлетворяя первоначальные исковые требования, суд первой инстанции, исходил из того, что заключенный сторонами договор является договором простого товарищества. Апелляционный суд не согласился с такой квалификацией договора и, исходя из содержания условий договора и дополнительных соглашений к нему с учетом объяснения сторон, посчитал, что договор является смешанным договором, содержащим элементы договоров подряда, возмездного оказания услуг и непоименованного договора. Руководствуясь статьями 15, 252, 393, 421, 450, 453, 614, 1042, 1043, 1046, 1050 Гражданского кодекса Российской Федерации, статьями 1, 7, 85 3 Земельного кодекса Российской Федерации, статьями 1, 37 Градостроительного кодекса Российской Федерации, исследовав и оценив по правилам статьи 71 Арбитражного процессуального кодекса Российской Федерации представленные в материалы дела доказательства, установив, что общество не исполнило обязанность по оплате стоимости выполненных компанией строительно-монтажных, проектных и изыскательских работ, включая затраты на проведение экспертизы, принимая во внимание длительный период просрочки, суды пришли к выводу о наличии оснований для расторжения договора. Исходя из условий договора, учитывая согласованную сторонами в дополнительных соглашениях к договору стоимость выполненных работ, которые приняты заказчиком, а также иных расходов, понесенных инвестором в рамках договора, суды признали обоснованными требования компании в части взыскания с общества 6 584 410 руб. 51 коп. Указав, что расторжение договора не связано с неисполнением или ненадлежащим исполнением обязательств компанией, условия для ее привлечения к ответственности в виде возмещения убытков отсутствуют, суды отказали в удовлетворении встречного иска. Суд округа согласился с квалификацией апелляционным судом договора и поддержал выводы судов в остальной части. Доводы кассационной жалобы были предметом рассмотрения судов и получили правовую оценку, не опровергают выводы судов, направлены на переоценку обстоятельств дела, установленных судами, не подтверждают существенных нарушений судами норм материального и процессуального права, повлиявших на исход дела, и в силу статьи 291.6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Федерации.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«Ажур»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