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06.08.2021, оставленным без изменения постановлением Девятого арбитражного апелляционного суда от 25.10.2021 и постановлением Арбитражного суда Московского округа от 19.01.2022,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обжалуемых судебных актов, вступившим в законную силу судебным актом арбитражного суда по делу № А40-314947/2019 с общества в пользу третьего лица взысканы убытки, возникшие в связи с поставкой товара ненадлежащего качества, а также судебные расходы по уплате государственной пошлины и на оплату услуг представителя Полагая, что убытки, понесенные в связи с исполнением судебного акта по названному делу, подлежат возмещению компанией, как поставщиком спорного товара, являющейся контрагентом истца по договору от 21.02.2018 № СН1/18, общество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констатировав, что обществом не представлено доказательств того, что поставленный им третьему лицу товар приобретен у ответчика в рамках спорного договора, принимая во внимание установленные в рамках дела № А40-314947/2019 обстоятельства, свидетельствующие о принадлежности поставленного истцом третьему лицу товара непосредственно истцу, а также то, что ответчик к рассмотрению указанного дела не привлекался, руководствуясь статьями 15, 393, 1081 Гражданского кодекса Российской Федерации, суды первой и апелляционной инстанций пришли к выводу об отсутствии оснований для удовлетворения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«АГИРА»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