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07.10.2021, оставленным без изменения постановлением Четырнадцатого арбитражного апелляционного суда от 17.12.2021 и постановлением Арбитражного суда Северо-Западного округа от 23.03.2022, заявление удовлетворено. В кассационной жалобе общество просит об отмене судебных актов, ссылаясь на отсутствие у спорного имущества отличного от подлежащего включению в конкурсную массу статуса.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предоставление спорного имущества должнику в связи с наличием у него определенного социального статуса, не допускающего изъятия этого имущества по денежным обязательствам и обязательным платежам, в целях удовлетворения которых вводятся процедуры банкротства гражданина (пункт 2 статьи 231.6, статья 213.25 Федерального закона от 26.10.2002 № 127-ФЗ «О несостоятельности (банкротстве)»).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«Жилищные услуги»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