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15.07.2021, оставленным без изменения постановлением Шестого арбитражного апелляционного суда от 13.10.2021, иск удовлетворен. Арбитражный суд Дальневосточного округа постановлением от 28.01.2022 решение и постановление апелляционного суда изменил: взыскал 910 000 рублей. В кассационной жалобе общество «Вектор» просит об отмене судебных актов, ссылаясь на невыяснение причин задержки порожних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срок оборота вагонов определен сторонами в договоре от 20.03.2019 № 41/03/2019 и сведения истца о нарушении его ответчиком соответствуют содержащимся в ЭТРАН сведениям, что в силу договора и статьи 781 Гражданского кодекса Российской Федерации признано основанием для удовлетворения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