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Московской области от 28.02.2019 Берн А.С.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Московской области от 22.08.2019, оставленным без изменения постановлениями Десятого арбитражного апелляционного суда от 25.11.2019 и Арбитражного суда Московского округа от 06.02.2020, процедура реализации имущества должника завершена, Берн А.С. не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В кассационной жалобе, поданной в Верховный Суд Российской Федерации, заявитель просит отменить указанные судебные акты в части отказа в применении правил об освобождении должника от исполнения обязательств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суды руководствовались положениями пунктов 3 и 4 статьи 213.28 Федерального закона от 26.10.2002 № 127-ФЗ «О несостоятельности (банкротстве)»,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недобросовестного поведения, а также неправомерных действий заявителя, выразившихся в принятии на себя заведомо неисполнимых обязательств аффилированного с ним лица без намерений их выполнения.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"ЛИГА МОТОРНЫХ ЛОДОК" (подробнее) ФНС России МРИ №13 по МО (подробнее) Иные лица: Ассоциация саморегулируемая организация арбитражных упоравляющих эгида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