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17.07.2019 первоначальные исковые требования удовлетворены, в удовлетворении встречного иска отказано. Постановлением Пятнадцатого арбитражного апелляционного суда от 21.10.2021 решение суда первой инстанции отменено; в удовлетворении первоначальных исковых требований отказано; встречный иск удовлетворен частично, с общества в пользу торгового дома взыскано 1 209 924 руб. убытков, 312 050 руб. 55 коп. судебных расходов по оплате государственной пошлины 2 и стоимости судебной экспертизы, в удовлетворении остальной части требований отказано. Постановлением Арбитражного суда Северо-Кавказского округа от 18.01.2022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апелляционным и окружным судами норм права, просит отменить их постановления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Отменяя решение суда первой инстанции и принимая по делу новый судебный акт об отказе в удовлетворении первоначального иска и удовлетворении встречного иска в части взыскания убытков, суд апелляционной инстанции, с которым впоследствии согласился суд округа, руководствовался статьями 15, 309, 310, 393, 715, 720, 721 Гражданского кодекса Российской Федерации 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исходил из установленного факта оплаты торговым домом фактически выполненных обществом работ, а также выполнения последним работ с недостатками, которые устранены привлеченной торговым домом организацией в связи с отказом общества от их устранения. Приведенные в кассационной жалобе доводы были предметом рассмотрения судов апелляционной инстанции и округа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3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«Союз Архстрой»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