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23.07.2021, оставленным без изменения постановлением Девятого арбитражного апелляционного суда от 16.09.2021 и постановлением Арбитражного суда Московского округа от 25.01.2022, исковые требования удовлетворены. В кассационной жалобе, поданной в Верховный Суд Российской Федерации, фабрика,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2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услуг по спорному договору, которые фабрикой в полном объеме не оплачены, руководствуясь статьями 309, 310, 329, 330, 779, 781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требований. С указанными выводами впоследствии согласился суд округа, не установив нарушений норм процессуального права.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«ФАБРИКА КОНДИТЕРСКИХ ИЗДЕЛИЙ»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