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«СЕНАТОР КЛУБ» (далее – компания) обратилось в Арбитражный суд города Москвы с исковым заявлением к обществу с ограниченной ответственностью «М.А. – ХОЛДИНГ» (далее - общество) об обязании в месячный срок с момента принятия решения завершить внутреннюю отделку корпуса 2-7 на участке № 3 (строительная площадка № 2) в объеме, согласно адресному описанию отделки номеров; изготовить и передать компании технические планы на объект «малоэтажные одноквартирные сблокированные корпуса и теннисный корт» в формате XML-6 в бумажном виде и на электронном носителе, содержащие электронную подпись кадастрового инженера; передать компании финансовый отчет об исполнении договора соинвестирования и договора генерального строительного подряда; оригиналы платежных поручений о перечислении денежных средств в подтверждение расходов к финансовому отчету об исполнении договора соинвестирования; оригиналы актов о приемке выполненных работ по форме КС-2 к договору генерального строительного подряда; оригиналы справок о стоимости выполненных работ и затрат по форме КС-3 к договору генерального строительного подряда; передать компании дубликат акта о соответствии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 учета используемых энергетических ресурсов. Решением Арбитражного суда города Москвы от 15.02.2021, оставленным без изменения постановлением Девятого арбитражного апелляционного суда от 09.08.2021, в удовлетворении исковых требований отказано. Постановлением Арбитражного суда Московского округа от 25.01.2022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незаконность постановления суда округа, просит его отменить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первой, апелляционной инстанций и направляя дело на новое рассмотрение, суд округа исходил из того, что суды не исследовали все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«М.А. - ХОЛДИНГ»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"СЕНАТОР КЛУБ" (подробнее) Ответчики: ООО "М.А. - ХОЛДИНГ"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