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пересмотре определения Арбитражного суда Московской области от 15.10.2020 о признании недействительным соглашения № 1 об уступке права (требования) от 16.05.2018, заключенного между обществом и должником, применении последствий его недействительности по вновь открывшимся обстоятельствам. Определением Арбитражного суда Московской области от 25.10.2021, оставленным без изменения постановлениями Десятого арбитражного апелляционного суда от 21.12.2021 и Арбитражного суда Московского округа от 11.03.2022,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в Арбитражный суд Московской области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руководствовались статьями 309-312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приводимые в нём обстоятельства не отвечали признакам новых или вновь открывшихся существенных обстоятельств, которые способны повлиять на выводы суда при принятии указанного к пересмотру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«Банк Патентованных Идей»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