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Репьева Евгения Александровича финансовый управляющий имуществом должника Чурюмов Валерий Иванович обратился в Арбитражный суд Владимирской области с ходатайством о завершении процедуры реализации имущества гражданина. Определением Арбитражного суда Владимирской области от 10.08.2021 процедура реализации имущества должника завершена,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гражданина, за исключением требования акционерного общества «Торговая компания «Мегаполис» (далее - компания), включенного в реестр требований кредиторов должника. Постановлением Первого арбитражного апелляционного суда от 26.11.2021 определение суда первой инстанции оставлено без изменения. Арбитражный суд Волго-Вятского округа постановлением от 11.03.2022 указанные судебные акты оставил без изменения. 2 Репьев Евгений Александрович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перед компанией,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 и исходили из наличия исключений для освобождения должника от обязательств перед кредитором, предусмотренных абзацем четвертым пункта 4 статьи 213.28 Федерального закона «О несостоятельности (банкротстве)». В частности, судами установлено, что возникновение непогашенной задолженности перед компанией обусловлено совершением должником преступления, что исключает освобождение его от дальнейшего погашения спорного требования с использованием механизма процедуры банкротства. Доводы, изложенные в кассационной жалобе,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Репьеву Евгению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