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08.10.2021 иск удовлетворен. Постановлением Шестого арбитражного апелляционного суда от 22.12.2021, оставленным без изменения постановлением Арбитражного суда Дальневосточного округа от 05.03.2022, решение отменено, в удовлетворении иска отказано. В кассационной жалобе общество просит об отмене судебных актов апелляционного и окружного судов, ссылаясь на неправильное применение норм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Возмещение убытков посредством компенсационной выплаты допускается в случае банкротства одновременно страховщиков ответственности потерпевшего и причинителя вреда (пункт 29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Обстоятельства рассматриваемого спора признаны не попадающими под такой случай.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