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01.09.2021, оставленным без изменения постановлением Второго арбитражного апелляционного суда от 29.10.2021 и постановлением Арбитражного суда Волго-Вятского округа от 21.03.2022, в удовлетворении иска отказано. В кассационной жалобе общество просит о пересмотре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неисполнение контракта в условиях, освобождающих от ответственности (пункт 3 статьи 401 Гражданского кодекса Российской Федерации), поэтому отказали во взыскании убытков.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