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24.05.2021 отказано в удовлетворении заявления управления, производство по встречному требованию арбитражного управляющего прекращено, в удовлетворении ходатайства ООО «Строительная компания «ГлавРемСтрой» о вступлении в дело в качестве третьего лица отказано. Постановлением Тринадцатого арбитражного апелляционного суда от 04.10.2021 решение суда первой инстанции отменено, арбитражный управляющий привлечена к административной ответственности, предусмотренной частью 3 статьи 14.13 КоАП РФ, в виде штрафа в размере 40 000 рублей. Арбитражный суд Северо-Западного округа постановлением от 26.01.2022 оставил без изменения постановление суда апелляционной инстанции. Арбитражный управляющий обратилась в Верховный Суд Российской Федерации с кассационной жалобой, в которой просит отменить судебные акты судов апелляционной и кассационной инстанций, ссылаясь на их незаконность и необоснованность.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не исполнила требования пункта 4 статьи 15, пункта 4 статьи 20.3, пункта 1,2 статьи 133 Федерального закона от 26.10.2002 № 127-ФЗ «О несостоятельности (банкротстве)» (далее — Закон о банкротстве), пункта 11 Общих правил подготовки отчетов (заключений) арбитражного управляющего, утвержденных постановлением Правительства Российской Федерации от 22.05.2003 № 299 (далее – Правила № 299) в связи с тем, что решения комитета кредиторов должника не были обжалованы в суд, арбитражный управляющий использует не только один расчетный счет 3 должника, но и собственный расчетный счет, к отчетам конкурсного управляющего о своей деятельности и о результатах проведения конкурсного производства не приложены копии документов, подтверждающих указанные в них сведения.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Закона о банкротстве, Правил № 299, суд апелляционной инстанции пришел к выводам о наличии в действиях арбитражного управляющего состава правонарушения, предусмотренного частью 3 статьи 14.13 КоАП РФ, о соблюдении процедуры и срока давности привлечения к административной ответственности, об отсутствии оснований для признания совершенного правонарушения малозначительным, с чем согласился суд округа. Доводы жалобы направлены на переоценку доказательств и установление иных фактических обстоятельств дела, сводятся к иному толкованию положений действующего законодательства,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