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города Москвы «Жилищник района Хорошево-Мневники» (далее – Учреждение) обратилось в Арбитражный суд города Москвы с иском к обществу с ограниченной ответственностью «Дом 51» (далее – Общество) о взыскании 3 357 545 рублей 29 копеек задолженности за оказанные коммунальные и эксплуатационные услуги за период с 01.01.2017 по 01.10.2020 и процентов за пользование чужими денежными средствами за каждый день просрочки, начиная с 11.10.2020 по день фактической оплаты долга. Решением Арбитражного суда города Москвы от 13.09.2021, оставленным без изменения постановлением Девятого арбитражного апелляционного суда от 02.11.2021 и постановлением Арбитражного суда Московского округа от 24.02.2022,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принадлежащее Обществу нежилое помещение является частью многоквартирного дома (далее – МКД). Также Учреждение выражает несогласие с выводами, изложенными в заключении, составленном по результатам проведенной судебной экспертизы.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объект, расположенный по адресу: &lt;...&gt; состоит из МКД и встроенно-пристроенных нежилых помещений. Строительство здания осуществлено на основании Распоряжения 1-го заместителя премьера Правительства Москвы от 12.04.1996 № 453-РЗП, которым было предусмотрено строительство крупнопанельного 4-секционного 16-этажного жилого дома по типовому проекту модернизированной серии и встроенно-пристроенных нежилых помещений общественного назначения в первых 3-х этажах по индивидуальному проекту. Жилой дом принят в эксплуатацию актом госприемки от 30.12.1997, утвержденным распоряжением префекта СЗАО г. Москвы от 30.12.1997 № 1731-РП. Нежилые встроенно-пристроенные помещения общественного назначения нежилой части здания приняты в эксплуатацию актом госприемки от 28.07.2000, утвержденным распоряжением префекта СЗАО г. Москвы от 02.08.2000 № 3318-РП, как отдельный объект капитального строительства. Помещение ответчика является частью встроенно-пристроенных нежилых помещений к МКД, возведенных по индивидуальному проекту. В соответствии с решением собственников помещений по выбору способа управления МКД от 30.11.2009 коммунальные и эксплуатационные услуги предоставляет Учреждение. Исковые требования мотивированы неисполнением ответчиком, как собственником нежилого помещения площадью 2625,4 кв. м, (кадастровый номер 77:08:0010004:10401) обязанности по оплате коммунальных и эксплуатационных услуг. По расчету истца, ответчик имеет задолженность по оплате коммунальных и эксплуатационных услуг за период с 01.01.2017 по 01.10.2020 в размере 3 357 545 рублей 29 копеек. Ответчиком услуги в добровольном порядке не оплачены, в связи с чем истец обратился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заключение, составленное по результатам проведенной судебной экспертизы, приняв во внимание обстоятельства, установленные при рассмотрении дела № А40-71417/2020, руководствуясь статьями 210 , 249, 290, 309 , 310 , 779 , 781 Гражданского кодекса Российской Федерации, статьями 39, 153 , 158 Жилищного кодекса Российской Федерации, положениями Инструкции о проведении учета жилищного фонда в Российской Федерации, утвержденной приказом Минземстроя России от 04.08.1998 № 37, суды отказали в удовлетворении требований, установив , что нежилое помещение ответчика и МКД, находящийся в управлении истца, не являются единым объектом недвижимости; Общество, как собственник нежилого помещения, самостоятельно заключает с ресурсоснабжающими организациями договоры энергоснабжения, теплоснабжения, водоснабжения и прием сточных вод в городскую канализацию, а также несет бремя его содержания и обслуживания, в том числе по его текущему и капитальному ремонту, ремонту и обслуживанию инженерных сетей и коммуникаций, расположенных в его помещении, вывозу и утилизации ТБО; общее имущество МКД ответчик не использует.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бюджетного учреждения города Москвы «Жилищник района Хорошево-Мневники»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ГОСУДАРСТВЕННОЕ БЮДЖЕТНОЕ УЧРЕЖДЕНИЕ ГОРОДА МОСКВЫ "ЖИЛИЩНИК РАЙОНА ХОРОШЕВО-МНЕВНИКИ" (подробнее) Ответчики: ООО "ДОМ 51" (подробнее) Иные лица: АНО В ОБЛАСТИ РАЗВИТИЯ ЭКСПЕРТНО-ОЦЕНОЧНОЙ ДЕЯТЕЛЬНОСТИ В СТРОИТЕЛЬСТВЕ "ГЛАВНАЯ СТРОИТЕЛЬНАЯ ЭКСПЕРТИЗА"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